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COMMUNE D’ARCHETTES</w:t>
      </w:r>
    </w:p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BF615C" w:rsidP="00185825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DU </w:t>
      </w:r>
      <w:r w:rsidR="00AD04C7">
        <w:rPr>
          <w:b/>
          <w:sz w:val="24"/>
          <w:szCs w:val="24"/>
          <w:u w:val="single"/>
        </w:rPr>
        <w:t>18 OCTOBRE</w:t>
      </w:r>
      <w:r>
        <w:rPr>
          <w:b/>
          <w:sz w:val="24"/>
          <w:szCs w:val="24"/>
          <w:u w:val="single"/>
        </w:rPr>
        <w:t xml:space="preserve"> 2018</w:t>
      </w:r>
    </w:p>
    <w:p w:rsidR="00185825" w:rsidRDefault="00185825" w:rsidP="00185825">
      <w:pPr>
        <w:jc w:val="both"/>
        <w:rPr>
          <w:b/>
          <w:u w:val="single"/>
        </w:rPr>
      </w:pPr>
    </w:p>
    <w:p w:rsidR="00185825" w:rsidRDefault="00185825" w:rsidP="00185825">
      <w:pPr>
        <w:jc w:val="both"/>
      </w:pPr>
      <w:r>
        <w:t xml:space="preserve">L’an deux mil </w:t>
      </w:r>
      <w:r w:rsidR="005B23CE">
        <w:t>dix-</w:t>
      </w:r>
      <w:r w:rsidR="00C67638">
        <w:t>hui</w:t>
      </w:r>
      <w:r w:rsidR="005B23CE">
        <w:t>t</w:t>
      </w:r>
      <w:r w:rsidR="00AD04C7">
        <w:t>, le dix-huit octobre</w:t>
      </w:r>
      <w:r w:rsidR="00BF615C">
        <w:t xml:space="preserve"> à </w:t>
      </w:r>
      <w:r w:rsidR="00AD04C7">
        <w:t>vingt</w:t>
      </w:r>
      <w:r>
        <w:t xml:space="preserve"> heures, le Conseil Municipal de la commune de Archettes étant réuni</w:t>
      </w:r>
      <w:r w:rsidR="0076674D">
        <w:t>, en session extraordinaire,</w:t>
      </w:r>
      <w:r>
        <w:t xml:space="preserve"> au lieu ordinaire de ses séances, après convocation légale du </w:t>
      </w:r>
      <w:r w:rsidR="00AD04C7">
        <w:t>12 octobre</w:t>
      </w:r>
      <w:r>
        <w:t xml:space="preserve"> 201</w:t>
      </w:r>
      <w:r w:rsidR="00C67638">
        <w:t>8</w:t>
      </w:r>
      <w:r>
        <w:t>, sous la présidence de Monsieur Joël MAROT, Maire de la commune.</w:t>
      </w:r>
    </w:p>
    <w:p w:rsidR="00185825" w:rsidRDefault="00185825" w:rsidP="00185825">
      <w:pPr>
        <w:jc w:val="both"/>
      </w:pPr>
    </w:p>
    <w:p w:rsidR="005F119C" w:rsidRDefault="00185825" w:rsidP="005F119C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>Messieurs Joël MAROT, Patrick GEORGES, Fabrice CLAUDE, Dominique LEBEDEL, Stéphane DUCRET</w:t>
      </w:r>
      <w:r w:rsidR="00AD04C7">
        <w:t>, Nicolas THOMAS, Nicolas TOUSSAINT</w:t>
      </w:r>
    </w:p>
    <w:p w:rsidR="005F119C" w:rsidRPr="002D58C8" w:rsidRDefault="005F119C" w:rsidP="005F119C">
      <w:pPr>
        <w:jc w:val="both"/>
      </w:pPr>
      <w:r>
        <w:t>Mesdames Brigitte LALLEMENT, Cindy LAURENT</w:t>
      </w:r>
      <w:r w:rsidR="00C67638">
        <w:t>, Nadège OUGER</w:t>
      </w:r>
      <w:r w:rsidR="00E37F68">
        <w:t>, Anja PRADEL, Christine LEMARQUIS</w:t>
      </w:r>
      <w:r w:rsidR="0076674D">
        <w:t>, Monique LEVAUDEL</w:t>
      </w:r>
    </w:p>
    <w:p w:rsidR="00185825" w:rsidRDefault="00185825" w:rsidP="00185825">
      <w:pPr>
        <w:jc w:val="both"/>
        <w:rPr>
          <w:u w:val="single"/>
        </w:rPr>
      </w:pPr>
      <w:r>
        <w:rPr>
          <w:u w:val="single"/>
        </w:rPr>
        <w:t>Absents excusés :</w:t>
      </w:r>
    </w:p>
    <w:p w:rsidR="00384CB0" w:rsidRDefault="00AD04C7" w:rsidP="00BF615C">
      <w:pPr>
        <w:jc w:val="both"/>
      </w:pPr>
      <w:r>
        <w:t>Monsieur</w:t>
      </w:r>
      <w:r w:rsidR="0076674D">
        <w:t xml:space="preserve"> Alexandre PILON</w:t>
      </w:r>
      <w:r>
        <w:t xml:space="preserve"> donne pouvoir à Madame Cindy LAURENT</w:t>
      </w:r>
    </w:p>
    <w:p w:rsidR="00AD04C7" w:rsidRDefault="00AD04C7" w:rsidP="00BF615C">
      <w:pPr>
        <w:jc w:val="both"/>
      </w:pPr>
      <w:r>
        <w:t>Madame Christelle FARON donne pouvoir à Madame Nadège OUGER</w:t>
      </w:r>
    </w:p>
    <w:p w:rsidR="00C67638" w:rsidRDefault="00C67638" w:rsidP="00185825">
      <w:pPr>
        <w:jc w:val="both"/>
      </w:pPr>
    </w:p>
    <w:p w:rsidR="00185825" w:rsidRDefault="00185825" w:rsidP="00185825">
      <w:pPr>
        <w:jc w:val="both"/>
      </w:pPr>
      <w:r>
        <w:rPr>
          <w:u w:val="single"/>
        </w:rPr>
        <w:t>Secrétaire de séance :</w:t>
      </w:r>
      <w:r w:rsidR="00AD04C7">
        <w:t xml:space="preserve"> Monsieur Nicolas THOMAS</w:t>
      </w:r>
    </w:p>
    <w:p w:rsidR="00185825" w:rsidRDefault="00185825" w:rsidP="00185825">
      <w:pPr>
        <w:jc w:val="both"/>
      </w:pPr>
    </w:p>
    <w:p w:rsidR="00185825" w:rsidRDefault="00185825" w:rsidP="00185825">
      <w:pPr>
        <w:jc w:val="both"/>
      </w:pPr>
      <w:r>
        <w:t>Le compte-rendu de la dernière séance est lu et adopté à l’unanimité.</w:t>
      </w:r>
    </w:p>
    <w:p w:rsidR="00AD04C7" w:rsidRDefault="00AD04C7" w:rsidP="00185825">
      <w:pPr>
        <w:jc w:val="both"/>
      </w:pPr>
    </w:p>
    <w:p w:rsidR="00AD04C7" w:rsidRDefault="00AD04C7" w:rsidP="00185825">
      <w:pPr>
        <w:jc w:val="both"/>
        <w:rPr>
          <w:b/>
          <w:u w:val="single"/>
        </w:rPr>
      </w:pPr>
      <w:r>
        <w:rPr>
          <w:b/>
          <w:u w:val="single"/>
        </w:rPr>
        <w:t>N° 6906 – SCOT : ADOPTION</w:t>
      </w:r>
    </w:p>
    <w:p w:rsidR="00AD04C7" w:rsidRDefault="00AD04C7" w:rsidP="00185825">
      <w:pPr>
        <w:jc w:val="both"/>
        <w:rPr>
          <w:b/>
          <w:u w:val="single"/>
        </w:rPr>
      </w:pPr>
    </w:p>
    <w:p w:rsidR="00AD04C7" w:rsidRPr="0053491B" w:rsidRDefault="0053491B" w:rsidP="0053491B">
      <w:pPr>
        <w:pStyle w:val="Sansinterligne"/>
        <w:rPr>
          <w:rFonts w:ascii="Times New Roman" w:hAnsi="Times New Roman"/>
          <w:sz w:val="24"/>
          <w:szCs w:val="24"/>
        </w:rPr>
      </w:pPr>
      <w:r w:rsidRPr="0053491B">
        <w:rPr>
          <w:rFonts w:ascii="Times New Roman" w:hAnsi="Times New Roman"/>
          <w:sz w:val="24"/>
          <w:szCs w:val="24"/>
        </w:rPr>
        <w:t xml:space="preserve">Concernant la révision du schéma de cohérence territoriale, le Conseil Municipal, </w:t>
      </w:r>
      <w:r w:rsidR="00D37E1A">
        <w:rPr>
          <w:rFonts w:ascii="Times New Roman" w:hAnsi="Times New Roman"/>
          <w:sz w:val="24"/>
          <w:szCs w:val="24"/>
        </w:rPr>
        <w:t xml:space="preserve">décide </w:t>
      </w:r>
      <w:r w:rsidRPr="0053491B">
        <w:rPr>
          <w:rFonts w:ascii="Times New Roman" w:hAnsi="Times New Roman"/>
          <w:sz w:val="24"/>
          <w:szCs w:val="24"/>
        </w:rPr>
        <w:t>à l’unanimité :</w:t>
      </w:r>
    </w:p>
    <w:p w:rsidR="0053491B" w:rsidRPr="0053491B" w:rsidRDefault="0053491B" w:rsidP="00185825">
      <w:pPr>
        <w:jc w:val="both"/>
      </w:pP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 w:rsidRPr="0053491B">
        <w:rPr>
          <w:rFonts w:ascii="Times New Roman" w:hAnsi="Times New Roman"/>
        </w:rPr>
        <w:t xml:space="preserve">De fixer les </w:t>
      </w:r>
      <w:r>
        <w:rPr>
          <w:rFonts w:ascii="Times New Roman" w:hAnsi="Times New Roman"/>
          <w:sz w:val="24"/>
          <w:szCs w:val="24"/>
        </w:rPr>
        <w:t>objectifs de consommation foncière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définir des objectifs pour le développement de l’habitat et la réhabilitation du parc existant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modérer la consommation foncière et mieux articuler le développement urbain et les transports collectifs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D’encadrer le développement commercial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préciser les modalités de préservation et de remise en bon état des continuités écologiques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D’intégrer les préoccupations énergétiques ainsi que les schémas de rangs supérieurs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satisfaire aux obligations issues de la loi ALUR, notamment étendre les études au périmètre élargi à la suite de l’intégration de la Communauté de Communes du secteur de Dompaire dans son ensemble</w:t>
      </w:r>
    </w:p>
    <w:p w:rsidR="0053491B" w:rsidRPr="0053491B" w:rsidRDefault="0053491B" w:rsidP="0053491B">
      <w:pPr>
        <w:pStyle w:val="Sansinterlign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consolider les pôles structurant du SCOT et leur accessibilité.</w:t>
      </w:r>
    </w:p>
    <w:p w:rsidR="0053491B" w:rsidRDefault="0053491B" w:rsidP="0053491B">
      <w:pPr>
        <w:pStyle w:val="Sansinterligne"/>
        <w:rPr>
          <w:rFonts w:ascii="Times New Roman" w:hAnsi="Times New Roman"/>
          <w:sz w:val="24"/>
          <w:szCs w:val="24"/>
        </w:rPr>
      </w:pPr>
    </w:p>
    <w:p w:rsidR="0053491B" w:rsidRDefault="0053491B" w:rsidP="0053491B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N° 6907 </w:t>
      </w:r>
      <w:r w:rsidR="007C4941">
        <w:rPr>
          <w:rFonts w:ascii="Times New Roman" w:hAnsi="Times New Roman"/>
          <w:b/>
          <w:sz w:val="24"/>
          <w:szCs w:val="24"/>
          <w:u w:val="single"/>
        </w:rPr>
        <w:t>– STERILISATEUR A LAMPES UV RESEAU D’EAU</w:t>
      </w:r>
    </w:p>
    <w:p w:rsidR="007C4941" w:rsidRDefault="007C4941" w:rsidP="0053491B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7C4941" w:rsidRDefault="007C4941" w:rsidP="0053491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alternative à la chloration pour traiter l’eau du réseau d’eau est l’achat d’un stérilisateur à lampes UV.</w:t>
      </w:r>
    </w:p>
    <w:p w:rsidR="007C4941" w:rsidRDefault="007C4941" w:rsidP="0053491B">
      <w:pPr>
        <w:pStyle w:val="Sansinterligne"/>
        <w:rPr>
          <w:rFonts w:ascii="Times New Roman" w:hAnsi="Times New Roman"/>
          <w:sz w:val="24"/>
          <w:szCs w:val="24"/>
        </w:rPr>
      </w:pPr>
    </w:p>
    <w:p w:rsidR="00C47BE5" w:rsidRDefault="007C4941" w:rsidP="0053491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devis a été demandé à l’entrepris</w:t>
      </w:r>
      <w:r w:rsidR="00C47BE5">
        <w:rPr>
          <w:rFonts w:ascii="Times New Roman" w:hAnsi="Times New Roman"/>
          <w:sz w:val="24"/>
          <w:szCs w:val="24"/>
        </w:rPr>
        <w:t>e AUZENE, il s’élève à 17 184.00 euros TTC.</w:t>
      </w:r>
    </w:p>
    <w:p w:rsidR="00C47BE5" w:rsidRDefault="00C47BE5" w:rsidP="0053491B">
      <w:pPr>
        <w:pStyle w:val="Sansinterligne"/>
        <w:rPr>
          <w:rFonts w:ascii="Times New Roman" w:hAnsi="Times New Roman"/>
          <w:sz w:val="24"/>
          <w:szCs w:val="24"/>
        </w:rPr>
      </w:pPr>
    </w:p>
    <w:p w:rsidR="00C47BE5" w:rsidRPr="007C4941" w:rsidRDefault="00C47BE5" w:rsidP="0053491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accepte, à l’unanimité, cette proposition.</w:t>
      </w:r>
    </w:p>
    <w:p w:rsidR="00823EAE" w:rsidRDefault="00823EAE" w:rsidP="0053491B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823EAE" w:rsidRPr="00823EAE" w:rsidRDefault="00823EAE" w:rsidP="00823EAE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 w:rsidRPr="00823EAE">
        <w:rPr>
          <w:rFonts w:ascii="Times New Roman" w:hAnsi="Times New Roman"/>
          <w:b/>
          <w:sz w:val="24"/>
          <w:szCs w:val="24"/>
          <w:u w:val="single"/>
        </w:rPr>
        <w:t xml:space="preserve">N° 6908 - DESTINATION DES </w:t>
      </w:r>
      <w:r>
        <w:rPr>
          <w:rFonts w:ascii="Times New Roman" w:hAnsi="Times New Roman"/>
          <w:b/>
          <w:sz w:val="24"/>
          <w:szCs w:val="24"/>
          <w:u w:val="single"/>
        </w:rPr>
        <w:t>COUPES DE L’ETAT D’ASSIETTE 2019</w:t>
      </w:r>
    </w:p>
    <w:p w:rsidR="00823EAE" w:rsidRPr="004A0B7D" w:rsidRDefault="00823EAE" w:rsidP="00823EAE">
      <w:pPr>
        <w:pStyle w:val="Sansinterligne"/>
        <w:rPr>
          <w:sz w:val="24"/>
          <w:szCs w:val="24"/>
        </w:rPr>
      </w:pPr>
    </w:p>
    <w:p w:rsidR="00823EAE" w:rsidRP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Le Conseil Municipal, à l’unanimité,</w:t>
      </w:r>
    </w:p>
    <w:p w:rsidR="00823EAE" w:rsidRP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Fixe comme suit la destination des produits des coupes des parcelles 1</w:t>
      </w:r>
      <w:r>
        <w:rPr>
          <w:rFonts w:ascii="Times New Roman" w:hAnsi="Times New Roman"/>
          <w:sz w:val="24"/>
          <w:szCs w:val="24"/>
        </w:rPr>
        <w:t xml:space="preserve">9r </w:t>
      </w:r>
      <w:r w:rsidRPr="00823EAE">
        <w:rPr>
          <w:rFonts w:ascii="Times New Roman" w:hAnsi="Times New Roman"/>
          <w:sz w:val="24"/>
          <w:szCs w:val="24"/>
        </w:rPr>
        <w:t>figurant à l’état d’assiette de l’exe</w:t>
      </w:r>
      <w:r>
        <w:rPr>
          <w:rFonts w:ascii="Times New Roman" w:hAnsi="Times New Roman"/>
          <w:sz w:val="24"/>
          <w:szCs w:val="24"/>
        </w:rPr>
        <w:t>rcice 2019</w:t>
      </w:r>
    </w:p>
    <w:p w:rsidR="00823EAE" w:rsidRP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823EAE" w:rsidRDefault="00823EAE" w:rsidP="00823EAE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vente de grumes façonnées au cours de la campagne 201</w:t>
      </w:r>
      <w:r>
        <w:rPr>
          <w:rFonts w:ascii="Times New Roman" w:hAnsi="Times New Roman"/>
          <w:sz w:val="24"/>
          <w:szCs w:val="24"/>
        </w:rPr>
        <w:t>9</w:t>
      </w:r>
      <w:r w:rsidRPr="00823EA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:rsidR="00823EAE" w:rsidRDefault="00823EAE" w:rsidP="00823EAE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 xml:space="preserve"> partage en nature des autres produits (houppiers et petits bois) entre les affouagistes</w:t>
      </w:r>
    </w:p>
    <w:p w:rsidR="00C47BE5" w:rsidRPr="00823EAE" w:rsidRDefault="00C47BE5" w:rsidP="00C47BE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lastRenderedPageBreak/>
        <w:t>Le Conseil Municipal à l’unanimité :</w:t>
      </w:r>
    </w:p>
    <w:p w:rsidR="00113800" w:rsidRDefault="00113800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823EAE" w:rsidRDefault="00113800" w:rsidP="00113800">
      <w:pPr>
        <w:pStyle w:val="Sansinterligne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laisse à l’ONF le soin de fixer les découpes dimensionnelles</w:t>
      </w:r>
    </w:p>
    <w:p w:rsidR="00823EAE" w:rsidRPr="00823EAE" w:rsidRDefault="00823EAE" w:rsidP="00113800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décide de répartir l’affouage par feu</w:t>
      </w:r>
    </w:p>
    <w:p w:rsidR="00823EAE" w:rsidRPr="00823EAE" w:rsidRDefault="00823EAE" w:rsidP="00113800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désigne comme garants responsables :</w:t>
      </w:r>
    </w:p>
    <w:p w:rsidR="00823EAE" w:rsidRPr="00823EAE" w:rsidRDefault="00823EAE" w:rsidP="00113800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Patrick GEORGES</w:t>
      </w:r>
    </w:p>
    <w:p w:rsidR="00823EAE" w:rsidRPr="00823EAE" w:rsidRDefault="00823EAE" w:rsidP="00113800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Daniel DEL</w:t>
      </w:r>
    </w:p>
    <w:p w:rsidR="00823EAE" w:rsidRPr="00823EAE" w:rsidRDefault="00823EAE" w:rsidP="00113800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Jean-Pierre GENAY</w:t>
      </w:r>
    </w:p>
    <w:p w:rsidR="00823EAE" w:rsidRPr="00823EAE" w:rsidRDefault="00823EAE" w:rsidP="00113800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fixe le délai unique d’exploitation, façonnage et vidange des bois pa</w:t>
      </w:r>
      <w:r>
        <w:rPr>
          <w:rFonts w:ascii="Times New Roman" w:hAnsi="Times New Roman"/>
          <w:sz w:val="24"/>
          <w:szCs w:val="24"/>
        </w:rPr>
        <w:t xml:space="preserve">rtagés en affouage au </w:t>
      </w:r>
      <w:r w:rsidRPr="00823EAE">
        <w:rPr>
          <w:rFonts w:ascii="Times New Roman" w:hAnsi="Times New Roman"/>
          <w:b/>
          <w:sz w:val="24"/>
          <w:szCs w:val="24"/>
        </w:rPr>
        <w:t>30/09/2019</w:t>
      </w:r>
    </w:p>
    <w:p w:rsidR="00823EAE" w:rsidRPr="00823EAE" w:rsidRDefault="00823EAE" w:rsidP="00113800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fixe le montant de la taxe d’affouage à 9.00 euros le stère</w:t>
      </w:r>
    </w:p>
    <w:p w:rsidR="003F6F9A" w:rsidRDefault="003F6F9A" w:rsidP="003F6F9A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823EAE" w:rsidRDefault="00823EAE" w:rsidP="003F6F9A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6909 – VENTE EN BLOC ET SUR PIED</w:t>
      </w:r>
    </w:p>
    <w:p w:rsidR="00823EAE" w:rsidRDefault="00823EAE" w:rsidP="003F6F9A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823EAE" w:rsidRPr="00D37E1A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Le Conseil Municipal, à l’unanimité,</w:t>
      </w:r>
    </w:p>
    <w:p w:rsidR="00823EAE" w:rsidRPr="00D37E1A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D37E1A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Fixe comme suit la destination des produits des coupes des parcelles 11a, 20b, 47a, 47t figurant à l’état d’assiette de l’exercice 2019 :</w:t>
      </w:r>
    </w:p>
    <w:p w:rsidR="00823EAE" w:rsidRPr="00D37E1A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23EAE" w:rsidRPr="00D37E1A" w:rsidRDefault="00823EAE" w:rsidP="00823EAE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Vente en bloc et sur pied</w:t>
      </w:r>
    </w:p>
    <w:p w:rsidR="00405357" w:rsidRDefault="00405357" w:rsidP="00405357">
      <w:pPr>
        <w:pStyle w:val="Sansinterligne"/>
        <w:jc w:val="both"/>
        <w:rPr>
          <w:sz w:val="24"/>
          <w:szCs w:val="24"/>
        </w:rPr>
      </w:pPr>
    </w:p>
    <w:p w:rsidR="00405357" w:rsidRPr="00D37E1A" w:rsidRDefault="00405357" w:rsidP="00405357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E1A">
        <w:rPr>
          <w:rFonts w:ascii="Times New Roman" w:hAnsi="Times New Roman"/>
          <w:b/>
          <w:sz w:val="24"/>
          <w:szCs w:val="24"/>
          <w:u w:val="single"/>
        </w:rPr>
        <w:t>N° 6910 – VENTE APRES FACONNAGE</w:t>
      </w:r>
    </w:p>
    <w:p w:rsidR="00823EAE" w:rsidRPr="00D37E1A" w:rsidRDefault="00823EAE" w:rsidP="00823EA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05357" w:rsidRPr="00D37E1A" w:rsidRDefault="00405357" w:rsidP="00405357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Le Conseil Municipal, à l’unanimité,</w:t>
      </w:r>
    </w:p>
    <w:p w:rsidR="00405357" w:rsidRPr="00D37E1A" w:rsidRDefault="00405357" w:rsidP="00405357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05357" w:rsidRPr="00D37E1A" w:rsidRDefault="00405357" w:rsidP="00405357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Fixe comme suit la destination des produits des coupes des parcelles 51a, 51t, 52a, 52r figurant à l’état d’assiette de l’exercice 2019 :</w:t>
      </w:r>
    </w:p>
    <w:p w:rsidR="00405357" w:rsidRPr="00D37E1A" w:rsidRDefault="00405357" w:rsidP="00405357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05357" w:rsidRPr="00D37E1A" w:rsidRDefault="00113800" w:rsidP="00405357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Vente après façonnage de la totalité des produits, à un professionnel, au cours de la campagne 2019/2020</w:t>
      </w:r>
    </w:p>
    <w:p w:rsidR="00113800" w:rsidRDefault="00113800" w:rsidP="00113800">
      <w:pPr>
        <w:pStyle w:val="Sansinterligne"/>
        <w:jc w:val="both"/>
        <w:rPr>
          <w:sz w:val="24"/>
          <w:szCs w:val="24"/>
        </w:rPr>
      </w:pPr>
    </w:p>
    <w:p w:rsidR="00113800" w:rsidRPr="00D37E1A" w:rsidRDefault="00113800" w:rsidP="00113800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E1A">
        <w:rPr>
          <w:rFonts w:ascii="Times New Roman" w:hAnsi="Times New Roman"/>
          <w:b/>
          <w:sz w:val="24"/>
          <w:szCs w:val="24"/>
          <w:u w:val="single"/>
        </w:rPr>
        <w:t xml:space="preserve">N° 6911 </w:t>
      </w:r>
      <w:r w:rsidR="001E7946" w:rsidRPr="00D37E1A">
        <w:rPr>
          <w:rFonts w:ascii="Times New Roman" w:hAnsi="Times New Roman"/>
          <w:b/>
          <w:sz w:val="24"/>
          <w:szCs w:val="24"/>
          <w:u w:val="single"/>
        </w:rPr>
        <w:t>–</w:t>
      </w:r>
      <w:r w:rsidRPr="00D37E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7946" w:rsidRPr="00D37E1A">
        <w:rPr>
          <w:rFonts w:ascii="Times New Roman" w:hAnsi="Times New Roman"/>
          <w:b/>
          <w:sz w:val="24"/>
          <w:szCs w:val="24"/>
          <w:u w:val="single"/>
        </w:rPr>
        <w:t>ADHESION AU SERVICE DE MEDECINE DE PREVENTION DU CENTRE DE GESTION DE LA FONCTION PUBLIQUE TERRITORIALE DES VOSGES</w:t>
      </w:r>
    </w:p>
    <w:p w:rsidR="001E7946" w:rsidRDefault="001E7946" w:rsidP="00113800">
      <w:pPr>
        <w:pStyle w:val="Sansinterligne"/>
        <w:jc w:val="both"/>
        <w:rPr>
          <w:b/>
          <w:sz w:val="24"/>
          <w:szCs w:val="24"/>
          <w:u w:val="single"/>
        </w:rPr>
      </w:pPr>
    </w:p>
    <w:p w:rsidR="001E7946" w:rsidRPr="001E7946" w:rsidRDefault="001E7946" w:rsidP="00113800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1E7946">
        <w:rPr>
          <w:rFonts w:ascii="Times New Roman" w:hAnsi="Times New Roman"/>
          <w:sz w:val="24"/>
          <w:szCs w:val="24"/>
        </w:rPr>
        <w:t xml:space="preserve">L’assemblée délibérante </w:t>
      </w:r>
    </w:p>
    <w:p w:rsidR="001E7946" w:rsidRPr="001E7946" w:rsidRDefault="001E7946" w:rsidP="00113800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1E7946" w:rsidRPr="001E7946" w:rsidRDefault="001E7946" w:rsidP="001E7946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1E7946">
        <w:rPr>
          <w:rFonts w:ascii="Times New Roman" w:hAnsi="Times New Roman"/>
          <w:sz w:val="24"/>
          <w:szCs w:val="24"/>
        </w:rPr>
        <w:t>Vu les dispositions de la loi n° 84-53 du 26 janvier 1984 modifiée portant dispositions statutaires relatives à la fonction publique territoriale et notamment son article 108-2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Vu le décret n° 87-602 du 30 juillet 1987 modifié pris pour l’application de la loi n° 84-53 du  26 janvier 1984 portant dispositions statutaires relatives à la fonction publique territoriale et relatif à l’organisation des comités médicaux et aux conditions d’aptitude physique et au régime des congés de maladie des fonctionnaires territoriaux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Vu le décret n° 85-603 du 10 juin 1985 modifié relatif à l’hygiène et à la sécurité du travail ainsi qu’à la médecine professionnelle et préventive dans la fonction publique territoriale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Vu le décret n° 85-1054 du 30 septembre 1985 modifié relatif au reclassement des fonctionnaires territoriaux reconnus inaptes à l’exercice de leurs fonctions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Considérant que la collectivité est tenue de prendre les dispositions nécessaires pour éviter toute altération de l’état de santé des agents du fait de leur travail 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jc w:val="both"/>
      </w:pPr>
      <w:r w:rsidRPr="001E7946">
        <w:t xml:space="preserve">Vu la convention conclue entre la collectivité </w:t>
      </w:r>
      <w:r>
        <w:t>d’Archettes</w:t>
      </w:r>
      <w:r w:rsidRPr="001E7946">
        <w:t xml:space="preserve"> et le Centre de Gestion des Vosges fixant les modalités d’exercice de la mission du service de médecine préventive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lastRenderedPageBreak/>
        <w:t>Vu le projet de convention d’adhésion décrivant les missions confiées au Centre de Gestion des Vosges en matière de médecine préventive.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Après en avoir délibéré,</w:t>
      </w:r>
      <w:r>
        <w:t xml:space="preserve"> à l’unanimité,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  <w:rPr>
          <w:i/>
        </w:rPr>
      </w:pPr>
      <w:r w:rsidRPr="001E7946">
        <w:rPr>
          <w:i/>
        </w:rPr>
        <w:t>Décide :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- De solliciter le Centre de Gestion des Vosges pour bénéficier de la prestation de médecine préventive qu’il propose aux collectivités dans le cadre de son service facultatif;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- D’autoriser Monsieur le Maire à conclure la convention correspondante d’adhésion au Service de Médecine Préventive selon projet annexé à la présente délibération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- De prévoir les crédits correspondants au budget de la collectivité.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>
        <w:t>Le Maire :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- Certifie sous sa responsabilité le caractère exécutoire de cet acte qui sera affiché ce jour au siège de la collectivité ;</w:t>
      </w:r>
    </w:p>
    <w:p w:rsidR="001E7946" w:rsidRPr="001E7946" w:rsidRDefault="001E7946" w:rsidP="001E7946">
      <w:pPr>
        <w:autoSpaceDE w:val="0"/>
        <w:autoSpaceDN w:val="0"/>
        <w:adjustRightInd w:val="0"/>
        <w:jc w:val="both"/>
      </w:pPr>
    </w:p>
    <w:p w:rsidR="001E7946" w:rsidRPr="001E7946" w:rsidRDefault="001E7946" w:rsidP="001E7946">
      <w:pPr>
        <w:autoSpaceDE w:val="0"/>
        <w:autoSpaceDN w:val="0"/>
        <w:adjustRightInd w:val="0"/>
        <w:jc w:val="both"/>
      </w:pPr>
      <w:r w:rsidRPr="001E7946">
        <w:t>- Informe que la présente délibération peut faire l’objet d’un recours pour excès de pouvoir devant le Tribunal Administratif dans un délai de deux mois à compter de sa publication.</w:t>
      </w:r>
    </w:p>
    <w:p w:rsidR="001E7946" w:rsidRDefault="001E7946" w:rsidP="001E7946">
      <w:pPr>
        <w:autoSpaceDE w:val="0"/>
        <w:autoSpaceDN w:val="0"/>
        <w:adjustRightInd w:val="0"/>
        <w:jc w:val="both"/>
      </w:pPr>
    </w:p>
    <w:p w:rsidR="001E7946" w:rsidRDefault="001E7946" w:rsidP="001E794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N° 6912 – REFORME DE LA GESTION DES LISTES ELECTORALES</w:t>
      </w:r>
    </w:p>
    <w:p w:rsidR="001E7946" w:rsidRDefault="001E7946" w:rsidP="001E7946">
      <w:pPr>
        <w:autoSpaceDE w:val="0"/>
        <w:autoSpaceDN w:val="0"/>
        <w:adjustRightInd w:val="0"/>
        <w:rPr>
          <w:b/>
          <w:u w:val="single"/>
        </w:rPr>
      </w:pPr>
    </w:p>
    <w:p w:rsidR="001E7946" w:rsidRDefault="005D666F" w:rsidP="001E7946">
      <w:pPr>
        <w:autoSpaceDE w:val="0"/>
        <w:autoSpaceDN w:val="0"/>
        <w:adjustRightInd w:val="0"/>
      </w:pPr>
      <w:r>
        <w:t>La loi n° 2016-1048 du 1</w:t>
      </w:r>
      <w:r w:rsidRPr="005D666F">
        <w:rPr>
          <w:vertAlign w:val="superscript"/>
        </w:rPr>
        <w:t>er</w:t>
      </w:r>
      <w:r>
        <w:t xml:space="preserve"> août 2016 rénovant les modalités d’inscription sur les listes électorales r</w:t>
      </w:r>
      <w:r w:rsidR="00D37E1A">
        <w:t>é</w:t>
      </w:r>
      <w:r>
        <w:t>forme intégralement les conditions de gestion des listes électorales.</w:t>
      </w:r>
    </w:p>
    <w:p w:rsidR="005D666F" w:rsidRDefault="005D666F" w:rsidP="001E7946">
      <w:pPr>
        <w:autoSpaceDE w:val="0"/>
        <w:autoSpaceDN w:val="0"/>
        <w:adjustRightInd w:val="0"/>
      </w:pPr>
    </w:p>
    <w:p w:rsidR="005D666F" w:rsidRDefault="005D666F" w:rsidP="001E7946">
      <w:pPr>
        <w:autoSpaceDE w:val="0"/>
        <w:autoSpaceDN w:val="0"/>
        <w:adjustRightInd w:val="0"/>
      </w:pPr>
      <w:r>
        <w:t>Cette réforme, qui entrera en vigueur au 1</w:t>
      </w:r>
      <w:r w:rsidRPr="005D666F">
        <w:rPr>
          <w:vertAlign w:val="superscript"/>
        </w:rPr>
        <w:t>er</w:t>
      </w:r>
      <w:r>
        <w:t xml:space="preserve"> janvier 2019, transfère aux Maires la compétence pour statuer sur les demandes d’inscription</w:t>
      </w:r>
      <w:r w:rsidR="000858C0">
        <w:t>s</w:t>
      </w:r>
      <w:r>
        <w:t xml:space="preserve"> et sur les radiations</w:t>
      </w:r>
      <w:r w:rsidR="000858C0">
        <w:t xml:space="preserve"> en lieu et place de la commission administrative de révision des listes électorales.</w:t>
      </w:r>
    </w:p>
    <w:p w:rsidR="000858C0" w:rsidRDefault="000858C0" w:rsidP="001E7946">
      <w:pPr>
        <w:autoSpaceDE w:val="0"/>
        <w:autoSpaceDN w:val="0"/>
        <w:adjustRightInd w:val="0"/>
      </w:pPr>
    </w:p>
    <w:p w:rsidR="000858C0" w:rsidRDefault="000858C0" w:rsidP="001E7946">
      <w:pPr>
        <w:autoSpaceDE w:val="0"/>
        <w:autoSpaceDN w:val="0"/>
        <w:adjustRightInd w:val="0"/>
      </w:pPr>
      <w:r>
        <w:t>Il convient de désigner un conseiller municipal prêt à participer aux travaux de la commission.</w:t>
      </w:r>
    </w:p>
    <w:p w:rsidR="000858C0" w:rsidRDefault="000858C0" w:rsidP="001E7946">
      <w:pPr>
        <w:autoSpaceDE w:val="0"/>
        <w:autoSpaceDN w:val="0"/>
        <w:adjustRightInd w:val="0"/>
      </w:pPr>
    </w:p>
    <w:p w:rsidR="000858C0" w:rsidRDefault="000858C0" w:rsidP="001E7946">
      <w:pPr>
        <w:autoSpaceDE w:val="0"/>
        <w:autoSpaceDN w:val="0"/>
        <w:adjustRightInd w:val="0"/>
      </w:pPr>
      <w:r>
        <w:t>Le Conseil, à l’unanimité, désigne Monsieur Fabrice CLAUDE, pour être membre de cette commission.</w:t>
      </w:r>
    </w:p>
    <w:p w:rsidR="000858C0" w:rsidRDefault="000858C0" w:rsidP="001E7946">
      <w:pPr>
        <w:autoSpaceDE w:val="0"/>
        <w:autoSpaceDN w:val="0"/>
        <w:adjustRightInd w:val="0"/>
      </w:pPr>
    </w:p>
    <w:p w:rsidR="000858C0" w:rsidRDefault="000858C0" w:rsidP="001E794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N° 6913 – REFECTION CHAUSSEE RUE DE LA LOUVIERE</w:t>
      </w:r>
    </w:p>
    <w:p w:rsidR="000858C0" w:rsidRDefault="000858C0" w:rsidP="001E7946">
      <w:pPr>
        <w:autoSpaceDE w:val="0"/>
        <w:autoSpaceDN w:val="0"/>
        <w:adjustRightInd w:val="0"/>
        <w:rPr>
          <w:b/>
          <w:u w:val="single"/>
        </w:rPr>
      </w:pPr>
    </w:p>
    <w:p w:rsidR="000858C0" w:rsidRDefault="000858C0" w:rsidP="001E7946">
      <w:pPr>
        <w:autoSpaceDE w:val="0"/>
        <w:autoSpaceDN w:val="0"/>
        <w:adjustRightInd w:val="0"/>
      </w:pPr>
      <w:r>
        <w:t>Monsieur le Maire informe le Conseil qu’il convient de consolider la chaussée rue de la Louvière.</w:t>
      </w:r>
    </w:p>
    <w:p w:rsidR="000858C0" w:rsidRDefault="000858C0" w:rsidP="001E7946">
      <w:pPr>
        <w:autoSpaceDE w:val="0"/>
        <w:autoSpaceDN w:val="0"/>
        <w:adjustRightInd w:val="0"/>
      </w:pPr>
    </w:p>
    <w:p w:rsidR="000858C0" w:rsidRDefault="000858C0" w:rsidP="001E7946">
      <w:pPr>
        <w:autoSpaceDE w:val="0"/>
        <w:autoSpaceDN w:val="0"/>
        <w:adjustRightInd w:val="0"/>
      </w:pPr>
      <w:r>
        <w:t>L’entreprise PEDUZZI estime ces travaux à 14 628 euros TTC.</w:t>
      </w:r>
    </w:p>
    <w:p w:rsidR="000858C0" w:rsidRDefault="000858C0" w:rsidP="001E7946">
      <w:pPr>
        <w:autoSpaceDE w:val="0"/>
        <w:autoSpaceDN w:val="0"/>
        <w:adjustRightInd w:val="0"/>
      </w:pPr>
    </w:p>
    <w:p w:rsidR="000858C0" w:rsidRDefault="000858C0" w:rsidP="001E7946">
      <w:pPr>
        <w:autoSpaceDE w:val="0"/>
        <w:autoSpaceDN w:val="0"/>
        <w:adjustRightInd w:val="0"/>
      </w:pPr>
      <w:r>
        <w:t>Le Conseil Municipal accepte à l’unanimité le devis.</w:t>
      </w:r>
    </w:p>
    <w:p w:rsidR="000858C0" w:rsidRDefault="000858C0" w:rsidP="001E7946">
      <w:pPr>
        <w:autoSpaceDE w:val="0"/>
        <w:autoSpaceDN w:val="0"/>
        <w:adjustRightInd w:val="0"/>
      </w:pPr>
    </w:p>
    <w:p w:rsidR="00F27DEB" w:rsidRDefault="000858C0" w:rsidP="001E794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N° 6914 </w:t>
      </w:r>
      <w:r w:rsidR="00F27DEB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F27DEB">
        <w:rPr>
          <w:b/>
          <w:u w:val="single"/>
        </w:rPr>
        <w:t>SUBVENTION FOYER SOCIO-EDUCATIF COLLEGE ELOYES</w:t>
      </w:r>
    </w:p>
    <w:p w:rsidR="00F27DEB" w:rsidRDefault="00F27DEB" w:rsidP="001E7946">
      <w:pPr>
        <w:autoSpaceDE w:val="0"/>
        <w:autoSpaceDN w:val="0"/>
        <w:adjustRightInd w:val="0"/>
        <w:rPr>
          <w:b/>
          <w:u w:val="single"/>
        </w:rPr>
      </w:pPr>
    </w:p>
    <w:p w:rsidR="00F27DEB" w:rsidRDefault="00F27DEB" w:rsidP="001E7946">
      <w:pPr>
        <w:autoSpaceDE w:val="0"/>
        <w:autoSpaceDN w:val="0"/>
        <w:adjustRightInd w:val="0"/>
      </w:pPr>
      <w:r>
        <w:t>Monsieur le Maire présente au Conseil Municipal un courrier de la Présidente de l’association du FSE du collège d’Eloyes sollicitant une subvention.</w:t>
      </w:r>
    </w:p>
    <w:p w:rsidR="00F27DEB" w:rsidRDefault="00F27DEB" w:rsidP="001E7946">
      <w:pPr>
        <w:autoSpaceDE w:val="0"/>
        <w:autoSpaceDN w:val="0"/>
        <w:adjustRightInd w:val="0"/>
      </w:pPr>
    </w:p>
    <w:p w:rsidR="00F27DEB" w:rsidRDefault="00F27DEB" w:rsidP="001E7946">
      <w:pPr>
        <w:autoSpaceDE w:val="0"/>
        <w:autoSpaceDN w:val="0"/>
        <w:adjustRightInd w:val="0"/>
      </w:pPr>
      <w:r>
        <w:t>Au vu des documents présentés, le Conseil décide, à l’unanimité, d’octroyer la somme de 100 euros à cette association.</w:t>
      </w:r>
    </w:p>
    <w:p w:rsidR="00C47BE5" w:rsidRDefault="00C47BE5" w:rsidP="001E7946">
      <w:pPr>
        <w:autoSpaceDE w:val="0"/>
        <w:autoSpaceDN w:val="0"/>
        <w:adjustRightInd w:val="0"/>
      </w:pPr>
    </w:p>
    <w:p w:rsidR="00D37E1A" w:rsidRDefault="00D37E1A" w:rsidP="001E7946">
      <w:pPr>
        <w:autoSpaceDE w:val="0"/>
        <w:autoSpaceDN w:val="0"/>
        <w:adjustRightInd w:val="0"/>
      </w:pPr>
    </w:p>
    <w:p w:rsidR="00D37E1A" w:rsidRDefault="00D37E1A" w:rsidP="001E7946">
      <w:pPr>
        <w:autoSpaceDE w:val="0"/>
        <w:autoSpaceDN w:val="0"/>
        <w:adjustRightInd w:val="0"/>
      </w:pPr>
    </w:p>
    <w:p w:rsidR="00D37E1A" w:rsidRDefault="00D37E1A" w:rsidP="001E7946">
      <w:pPr>
        <w:autoSpaceDE w:val="0"/>
        <w:autoSpaceDN w:val="0"/>
        <w:adjustRightInd w:val="0"/>
      </w:pPr>
    </w:p>
    <w:p w:rsidR="000858C0" w:rsidRPr="000858C0" w:rsidRDefault="00AF14D6" w:rsidP="001E7946">
      <w:pPr>
        <w:autoSpaceDE w:val="0"/>
        <w:autoSpaceDN w:val="0"/>
        <w:adjustRightInd w:val="0"/>
      </w:pPr>
      <w:r>
        <w:rPr>
          <w:b/>
          <w:u w:val="single"/>
        </w:rPr>
        <w:lastRenderedPageBreak/>
        <w:t>N° 6915 – DEMANDE D’ADHESION AU SMIC</w:t>
      </w:r>
    </w:p>
    <w:p w:rsidR="000858C0" w:rsidRPr="001E7946" w:rsidRDefault="000858C0" w:rsidP="001E7946">
      <w:pPr>
        <w:autoSpaceDE w:val="0"/>
        <w:autoSpaceDN w:val="0"/>
        <w:adjustRightInd w:val="0"/>
      </w:pPr>
    </w:p>
    <w:p w:rsidR="00AF14D6" w:rsidRPr="002D7528" w:rsidRDefault="00AF14D6" w:rsidP="00AF14D6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>Monsieur le Maire fait part aux membres du Conseil Municipal du courrier de Monsieur le Président du Syndicat Mixte pour l’</w:t>
      </w:r>
      <w:r>
        <w:rPr>
          <w:rFonts w:eastAsiaTheme="minorHAnsi"/>
          <w:lang w:eastAsia="en-US"/>
        </w:rPr>
        <w:t>I</w:t>
      </w:r>
      <w:r w:rsidRPr="002D7528">
        <w:rPr>
          <w:rFonts w:eastAsiaTheme="minorHAnsi"/>
          <w:lang w:eastAsia="en-US"/>
        </w:rPr>
        <w:t xml:space="preserve">nformatisation Communale dans le Département des Vosges, invitant le Conseil à se prononcer sur : </w:t>
      </w:r>
    </w:p>
    <w:p w:rsidR="00AF14D6" w:rsidRPr="002D7528" w:rsidRDefault="00AF14D6" w:rsidP="00AF14D6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</w:t>
      </w:r>
      <w:r w:rsidRPr="002D7528">
        <w:rPr>
          <w:rFonts w:eastAsiaTheme="minorHAnsi"/>
          <w:lang w:eastAsia="en-US"/>
        </w:rPr>
        <w:t xml:space="preserve"> demande d’adhésion présentée par la</w:t>
      </w:r>
      <w:r>
        <w:rPr>
          <w:rFonts w:eastAsiaTheme="minorHAnsi"/>
          <w:lang w:eastAsia="en-US"/>
        </w:rPr>
        <w:t xml:space="preserve"> commune de VAUDONCOURT ainsi que le Pôle d’Equilibre Territorial et Rural du Pays d’Epinal Cœur des Vosges</w:t>
      </w:r>
    </w:p>
    <w:p w:rsidR="00AF14D6" w:rsidRDefault="00AF14D6" w:rsidP="00AF14D6">
      <w:pPr>
        <w:spacing w:after="160" w:line="259" w:lineRule="auto"/>
        <w:jc w:val="both"/>
        <w:rPr>
          <w:rFonts w:eastAsiaTheme="minorHAnsi"/>
          <w:lang w:eastAsia="en-US"/>
        </w:rPr>
      </w:pPr>
      <w:r w:rsidRPr="002D7528">
        <w:rPr>
          <w:rFonts w:eastAsiaTheme="minorHAnsi"/>
          <w:lang w:eastAsia="en-US"/>
        </w:rPr>
        <w:t xml:space="preserve">Après en avoir délibéré, le Conseil Municipal, à l’unanimité, se prononce pour l’adhésion des collectivités précitées. </w:t>
      </w:r>
    </w:p>
    <w:p w:rsidR="002F4D63" w:rsidRDefault="002F4D63" w:rsidP="002F4D63">
      <w:pPr>
        <w:pStyle w:val="Sansinterligne"/>
      </w:pPr>
    </w:p>
    <w:p w:rsidR="00AF14D6" w:rsidRDefault="00AF14D6" w:rsidP="002F4D63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 w:rsidRPr="002F4D63">
        <w:rPr>
          <w:rFonts w:ascii="Times New Roman" w:hAnsi="Times New Roman"/>
          <w:b/>
          <w:sz w:val="24"/>
          <w:szCs w:val="24"/>
          <w:u w:val="single"/>
        </w:rPr>
        <w:t>N° 6916 – MODIFICATIONS BUDGETAIRES</w:t>
      </w:r>
    </w:p>
    <w:p w:rsidR="002F4D63" w:rsidRPr="002F4D63" w:rsidRDefault="002F4D63" w:rsidP="002F4D63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AF14D6" w:rsidRPr="00AF14D6" w:rsidRDefault="00AF14D6" w:rsidP="00AF14D6">
      <w:pPr>
        <w:spacing w:after="160" w:line="259" w:lineRule="auto"/>
        <w:rPr>
          <w:rFonts w:eastAsiaTheme="minorHAnsi"/>
          <w:b/>
          <w:i/>
          <w:u w:val="single"/>
          <w:lang w:eastAsia="en-US"/>
        </w:rPr>
      </w:pPr>
      <w:r w:rsidRPr="00AF14D6">
        <w:rPr>
          <w:rFonts w:eastAsiaTheme="minorHAnsi"/>
          <w:b/>
          <w:i/>
          <w:u w:val="single"/>
          <w:lang w:eastAsia="en-US"/>
        </w:rPr>
        <w:t>Budget Principal :</w:t>
      </w:r>
    </w:p>
    <w:p w:rsidR="00AF14D6" w:rsidRPr="00AF14D6" w:rsidRDefault="00AF14D6" w:rsidP="00AF14D6">
      <w:pPr>
        <w:pStyle w:val="Sansinterligne"/>
        <w:rPr>
          <w:rFonts w:ascii="Times New Roman" w:hAnsi="Times New Roman"/>
          <w:sz w:val="24"/>
          <w:szCs w:val="24"/>
        </w:rPr>
      </w:pP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Pour permettre le paiement des échéances des prêts, il convient d’effectuer les modifications budgétaires suivantes :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66111 - intérêts d’emprunts :</w:t>
      </w:r>
      <w:r w:rsidR="002F4D63">
        <w:rPr>
          <w:rFonts w:eastAsiaTheme="minorHAnsi"/>
          <w:lang w:eastAsia="en-US"/>
        </w:rPr>
        <w:tab/>
        <w:t xml:space="preserve">           + </w:t>
      </w:r>
      <w:r w:rsidRPr="00AF14D6">
        <w:rPr>
          <w:rFonts w:eastAsiaTheme="minorHAnsi"/>
          <w:lang w:eastAsia="en-US"/>
        </w:rPr>
        <w:t>3.000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 xml:space="preserve">74121 - dotations solidarité rurale : </w:t>
      </w:r>
      <w:r w:rsidR="002F4D63">
        <w:rPr>
          <w:rFonts w:eastAsiaTheme="minorHAnsi"/>
          <w:lang w:eastAsia="en-US"/>
        </w:rPr>
        <w:t xml:space="preserve"> </w:t>
      </w:r>
      <w:r w:rsidRPr="00AF14D6">
        <w:rPr>
          <w:rFonts w:eastAsiaTheme="minorHAnsi"/>
          <w:lang w:eastAsia="en-US"/>
        </w:rPr>
        <w:t>+ 3.000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b/>
          <w:i/>
          <w:u w:val="single"/>
          <w:lang w:eastAsia="en-US"/>
        </w:rPr>
      </w:pPr>
      <w:r w:rsidRPr="00AF14D6">
        <w:rPr>
          <w:rFonts w:eastAsiaTheme="minorHAnsi"/>
          <w:b/>
          <w:i/>
          <w:u w:val="single"/>
          <w:lang w:eastAsia="en-US"/>
        </w:rPr>
        <w:t>Budget Bois :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Il convient d’effectuer les modifications budgétaires pour permettre le paiement des factures d’entretien des bois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611 – Contrat prestation de service :</w:t>
      </w:r>
      <w:r w:rsidRPr="00AF14D6">
        <w:rPr>
          <w:rFonts w:eastAsiaTheme="minorHAnsi"/>
          <w:lang w:eastAsia="en-US"/>
        </w:rPr>
        <w:tab/>
        <w:t>+ 6.000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61524 – Entretien bois et forêt :</w:t>
      </w:r>
      <w:r w:rsidRPr="00AF14D6">
        <w:rPr>
          <w:rFonts w:eastAsiaTheme="minorHAnsi"/>
          <w:lang w:eastAsia="en-US"/>
        </w:rPr>
        <w:tab/>
        <w:t>+ 4.000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7022 – coupes de bois :</w:t>
      </w:r>
      <w:r w:rsidRPr="00AF14D6">
        <w:rPr>
          <w:rFonts w:eastAsiaTheme="minorHAnsi"/>
          <w:lang w:eastAsia="en-US"/>
        </w:rPr>
        <w:tab/>
      </w:r>
      <w:r w:rsidR="002F4D63">
        <w:rPr>
          <w:rFonts w:eastAsiaTheme="minorHAnsi"/>
          <w:lang w:eastAsia="en-US"/>
        </w:rPr>
        <w:t xml:space="preserve">          </w:t>
      </w:r>
      <w:r w:rsidRPr="00AF14D6">
        <w:rPr>
          <w:rFonts w:eastAsiaTheme="minorHAnsi"/>
          <w:lang w:eastAsia="en-US"/>
        </w:rPr>
        <w:t>+ 10.000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b/>
          <w:i/>
          <w:u w:val="single"/>
          <w:lang w:eastAsia="en-US"/>
        </w:rPr>
      </w:pPr>
      <w:r w:rsidRPr="00AF14D6">
        <w:rPr>
          <w:rFonts w:eastAsiaTheme="minorHAnsi"/>
          <w:b/>
          <w:i/>
          <w:u w:val="single"/>
          <w:lang w:eastAsia="en-US"/>
        </w:rPr>
        <w:t>Budget Eau :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 xml:space="preserve">Suite au prêt effectué pour les travaux d’eau, il convient d’effectuer les modifications budgétaires suivantes pour permettre le paiement des échéances : 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66111 Intérêts :</w:t>
      </w:r>
      <w:r w:rsidRPr="00AF14D6">
        <w:rPr>
          <w:rFonts w:eastAsiaTheme="minorHAnsi"/>
          <w:lang w:eastAsia="en-US"/>
        </w:rPr>
        <w:tab/>
      </w:r>
      <w:r w:rsidRPr="00AF14D6">
        <w:rPr>
          <w:rFonts w:eastAsiaTheme="minorHAnsi"/>
          <w:lang w:eastAsia="en-US"/>
        </w:rPr>
        <w:tab/>
        <w:t>+ 800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 xml:space="preserve">61523 : Réseaux : </w:t>
      </w:r>
      <w:r w:rsidRPr="00AF14D6">
        <w:rPr>
          <w:rFonts w:eastAsiaTheme="minorHAnsi"/>
          <w:lang w:eastAsia="en-US"/>
        </w:rPr>
        <w:tab/>
      </w:r>
      <w:r w:rsidR="002F4D63">
        <w:rPr>
          <w:rFonts w:eastAsiaTheme="minorHAnsi"/>
          <w:lang w:eastAsia="en-US"/>
        </w:rPr>
        <w:t xml:space="preserve">            </w:t>
      </w:r>
      <w:r w:rsidRPr="00AF14D6">
        <w:rPr>
          <w:rFonts w:eastAsiaTheme="minorHAnsi"/>
          <w:lang w:eastAsia="en-US"/>
        </w:rPr>
        <w:t>- 800 euro</w:t>
      </w:r>
    </w:p>
    <w:p w:rsidR="00AF14D6" w:rsidRP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>1641 :   Capital :</w:t>
      </w:r>
      <w:r w:rsidRPr="00AF14D6">
        <w:rPr>
          <w:rFonts w:eastAsiaTheme="minorHAnsi"/>
          <w:lang w:eastAsia="en-US"/>
        </w:rPr>
        <w:tab/>
      </w:r>
      <w:r w:rsidR="002F4D63">
        <w:rPr>
          <w:rFonts w:eastAsiaTheme="minorHAnsi"/>
          <w:lang w:eastAsia="en-US"/>
        </w:rPr>
        <w:t xml:space="preserve">          </w:t>
      </w:r>
      <w:r w:rsidRPr="00AF14D6">
        <w:rPr>
          <w:rFonts w:eastAsiaTheme="minorHAnsi"/>
          <w:lang w:eastAsia="en-US"/>
        </w:rPr>
        <w:t>+ 2.800 euro</w:t>
      </w:r>
    </w:p>
    <w:p w:rsidR="00AF14D6" w:rsidRDefault="00AF14D6" w:rsidP="00AF14D6">
      <w:pPr>
        <w:spacing w:after="160" w:line="259" w:lineRule="auto"/>
        <w:rPr>
          <w:rFonts w:eastAsiaTheme="minorHAnsi"/>
          <w:lang w:eastAsia="en-US"/>
        </w:rPr>
      </w:pPr>
      <w:r w:rsidRPr="00AF14D6">
        <w:rPr>
          <w:rFonts w:eastAsiaTheme="minorHAnsi"/>
          <w:lang w:eastAsia="en-US"/>
        </w:rPr>
        <w:t xml:space="preserve">2313 : Constructions : </w:t>
      </w:r>
      <w:r w:rsidR="002F4D63">
        <w:rPr>
          <w:rFonts w:eastAsiaTheme="minorHAnsi"/>
          <w:lang w:eastAsia="en-US"/>
        </w:rPr>
        <w:t xml:space="preserve">         </w:t>
      </w:r>
      <w:r w:rsidRPr="00AF14D6">
        <w:rPr>
          <w:rFonts w:eastAsiaTheme="minorHAnsi"/>
          <w:lang w:eastAsia="en-US"/>
        </w:rPr>
        <w:t>- 2.800 euro</w:t>
      </w:r>
    </w:p>
    <w:p w:rsidR="002F4D63" w:rsidRDefault="002F4D63" w:rsidP="002F4D63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accepte à l’unanimité ces modifications.</w:t>
      </w:r>
    </w:p>
    <w:p w:rsidR="00544CF3" w:rsidRDefault="00544CF3" w:rsidP="002F4D63">
      <w:pPr>
        <w:pStyle w:val="Sansinterligne"/>
        <w:rPr>
          <w:rFonts w:ascii="Times New Roman" w:hAnsi="Times New Roman"/>
          <w:sz w:val="24"/>
          <w:szCs w:val="24"/>
        </w:rPr>
      </w:pPr>
    </w:p>
    <w:p w:rsidR="00544CF3" w:rsidRDefault="00544CF3" w:rsidP="00544CF3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</w:t>
      </w:r>
      <w:r w:rsidRPr="00544CF3">
        <w:rPr>
          <w:rFonts w:ascii="Times New Roman" w:hAnsi="Times New Roman"/>
          <w:b/>
          <w:sz w:val="24"/>
          <w:szCs w:val="24"/>
          <w:u w:val="single"/>
        </w:rPr>
        <w:t xml:space="preserve">° 6917 - </w:t>
      </w:r>
      <w:r w:rsidRPr="00544CF3">
        <w:rPr>
          <w:rFonts w:ascii="Times New Roman" w:eastAsiaTheme="minorHAnsi" w:hAnsi="Times New Roman"/>
          <w:b/>
          <w:sz w:val="24"/>
          <w:szCs w:val="24"/>
          <w:u w:val="single"/>
        </w:rPr>
        <w:t>CONSTRUCTION DE DEUX CELLULES COMMERCIALES</w:t>
      </w:r>
    </w:p>
    <w:p w:rsidR="00BB25CC" w:rsidRDefault="00BB25CC" w:rsidP="00544CF3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B25CC" w:rsidRPr="00BB25CC" w:rsidRDefault="00BB25CC" w:rsidP="00544CF3">
      <w:pPr>
        <w:pStyle w:val="Sansinterligne"/>
        <w:rPr>
          <w:rFonts w:asciiTheme="minorHAnsi" w:eastAsiaTheme="minorHAnsi" w:hAnsiTheme="minorHAnsi" w:cstheme="minorBidi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Annule et remplace la délibération n° 6868</w:t>
      </w:r>
    </w:p>
    <w:p w:rsidR="00544CF3" w:rsidRPr="00544CF3" w:rsidRDefault="00544CF3" w:rsidP="00544CF3">
      <w:pPr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544CF3" w:rsidRPr="00544CF3" w:rsidRDefault="00544CF3" w:rsidP="00544CF3">
      <w:pPr>
        <w:jc w:val="both"/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Suite à une demande formulée par le boulanger de la commune, à cause de locaux trop exigus, la commune envisage la construction de deux cellules commerciales avec achat de terrain à un particulier.</w:t>
      </w:r>
    </w:p>
    <w:p w:rsidR="00544CF3" w:rsidRPr="00544CF3" w:rsidRDefault="00544CF3" w:rsidP="00544CF3">
      <w:pPr>
        <w:jc w:val="both"/>
        <w:rPr>
          <w:rFonts w:eastAsiaTheme="minorHAnsi"/>
          <w:lang w:eastAsia="en-US"/>
        </w:rPr>
      </w:pPr>
    </w:p>
    <w:p w:rsid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Le financement de ce projet s’effectuerait comme suit :</w:t>
      </w:r>
    </w:p>
    <w:p w:rsidR="00BB25CC" w:rsidRPr="00544CF3" w:rsidRDefault="00BB25CC" w:rsidP="00544CF3">
      <w:pPr>
        <w:rPr>
          <w:rFonts w:eastAsiaTheme="minorHAnsi"/>
          <w:lang w:eastAsia="en-US"/>
        </w:rPr>
      </w:pPr>
    </w:p>
    <w:p w:rsidR="00544CF3" w:rsidRPr="00544CF3" w:rsidRDefault="00544CF3" w:rsidP="00544CF3">
      <w:pPr>
        <w:rPr>
          <w:rFonts w:eastAsiaTheme="minorHAnsi"/>
          <w:lang w:eastAsia="en-US"/>
        </w:rPr>
      </w:pPr>
    </w:p>
    <w:p w:rsidR="00544CF3" w:rsidRP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lastRenderedPageBreak/>
        <w:t xml:space="preserve">Achat terrain </w:t>
      </w:r>
      <w:r w:rsidRPr="00544CF3">
        <w:rPr>
          <w:rFonts w:eastAsiaTheme="minorHAnsi"/>
          <w:lang w:eastAsia="en-US"/>
        </w:rPr>
        <w:tab/>
      </w:r>
      <w:r w:rsidRPr="00544CF3">
        <w:rPr>
          <w:rFonts w:eastAsiaTheme="minorHAnsi"/>
          <w:lang w:eastAsia="en-US"/>
        </w:rPr>
        <w:tab/>
      </w:r>
      <w:r w:rsidRPr="00544CF3">
        <w:rPr>
          <w:rFonts w:eastAsiaTheme="minorHAnsi"/>
          <w:lang w:eastAsia="en-US"/>
        </w:rPr>
        <w:tab/>
        <w:t xml:space="preserve">  80 000.00 euros HT</w:t>
      </w:r>
    </w:p>
    <w:p w:rsidR="00544CF3" w:rsidRP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Construction cellules</w:t>
      </w:r>
      <w:r w:rsidRPr="00544CF3">
        <w:rPr>
          <w:rFonts w:eastAsiaTheme="minorHAnsi"/>
          <w:lang w:eastAsia="en-US"/>
        </w:rPr>
        <w:tab/>
      </w:r>
      <w:r w:rsidRPr="00544CF3">
        <w:rPr>
          <w:rFonts w:eastAsiaTheme="minorHAnsi"/>
          <w:lang w:eastAsia="en-US"/>
        </w:rPr>
        <w:tab/>
        <w:t>337 965.00 euros HT</w:t>
      </w:r>
      <w:r w:rsidRPr="00544CF3">
        <w:rPr>
          <w:rFonts w:eastAsiaTheme="minorHAnsi"/>
          <w:lang w:eastAsia="en-US"/>
        </w:rPr>
        <w:tab/>
      </w:r>
    </w:p>
    <w:p w:rsidR="00544CF3" w:rsidRP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Subvention Département</w:t>
      </w:r>
      <w:r w:rsidRPr="00544CF3">
        <w:rPr>
          <w:rFonts w:eastAsiaTheme="minorHAnsi"/>
          <w:lang w:eastAsia="en-US"/>
        </w:rPr>
        <w:tab/>
        <w:t xml:space="preserve"> </w:t>
      </w:r>
      <w:r w:rsidR="000F5BFA">
        <w:rPr>
          <w:rFonts w:eastAsiaTheme="minorHAnsi"/>
          <w:lang w:eastAsia="en-US"/>
        </w:rPr>
        <w:t xml:space="preserve"> 37 346</w:t>
      </w:r>
      <w:r w:rsidRPr="00544CF3">
        <w:rPr>
          <w:rFonts w:eastAsiaTheme="minorHAnsi"/>
          <w:lang w:eastAsia="en-US"/>
        </w:rPr>
        <w:t>.00 euros HT</w:t>
      </w:r>
    </w:p>
    <w:p w:rsidR="00544CF3" w:rsidRP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Subvention Etat DETR</w:t>
      </w:r>
      <w:r w:rsidRPr="00544CF3">
        <w:rPr>
          <w:rFonts w:eastAsiaTheme="minorHAnsi"/>
          <w:lang w:eastAsia="en-US"/>
        </w:rPr>
        <w:tab/>
        <w:t>1</w:t>
      </w:r>
      <w:r w:rsidR="000F5BFA">
        <w:rPr>
          <w:rFonts w:eastAsiaTheme="minorHAnsi"/>
          <w:lang w:eastAsia="en-US"/>
        </w:rPr>
        <w:t>06 706</w:t>
      </w:r>
      <w:r w:rsidRPr="00544CF3">
        <w:rPr>
          <w:rFonts w:eastAsiaTheme="minorHAnsi"/>
          <w:lang w:eastAsia="en-US"/>
        </w:rPr>
        <w:t>.00 euros HT</w:t>
      </w:r>
    </w:p>
    <w:p w:rsidR="00544CF3" w:rsidRPr="00544CF3" w:rsidRDefault="00544CF3" w:rsidP="00544CF3">
      <w:pPr>
        <w:rPr>
          <w:rFonts w:eastAsiaTheme="minorHAnsi"/>
          <w:lang w:eastAsia="en-US"/>
        </w:rPr>
      </w:pPr>
      <w:r w:rsidRPr="00544CF3">
        <w:rPr>
          <w:rFonts w:eastAsiaTheme="minorHAnsi"/>
          <w:lang w:eastAsia="en-US"/>
        </w:rPr>
        <w:t>Autofinancement</w:t>
      </w:r>
      <w:r w:rsidRPr="00544CF3">
        <w:rPr>
          <w:rFonts w:eastAsiaTheme="minorHAnsi"/>
          <w:lang w:eastAsia="en-US"/>
        </w:rPr>
        <w:tab/>
      </w:r>
      <w:r w:rsidRPr="00544CF3">
        <w:rPr>
          <w:rFonts w:eastAsiaTheme="minorHAnsi"/>
          <w:lang w:eastAsia="en-US"/>
        </w:rPr>
        <w:tab/>
      </w:r>
      <w:r w:rsidR="000F5BFA">
        <w:rPr>
          <w:rFonts w:eastAsiaTheme="minorHAnsi"/>
          <w:lang w:eastAsia="en-US"/>
        </w:rPr>
        <w:t>273 913.</w:t>
      </w:r>
      <w:r w:rsidRPr="00544CF3">
        <w:rPr>
          <w:rFonts w:eastAsiaTheme="minorHAnsi"/>
          <w:lang w:eastAsia="en-US"/>
        </w:rPr>
        <w:t>00 euros HT</w:t>
      </w:r>
    </w:p>
    <w:p w:rsidR="00C638BB" w:rsidRDefault="00C638BB" w:rsidP="00C638BB">
      <w:pPr>
        <w:rPr>
          <w:rFonts w:asciiTheme="minorHAnsi" w:eastAsia="Calibri" w:hAnsiTheme="minorHAnsi"/>
          <w:lang w:eastAsia="en-US" w:bidi="en-US"/>
        </w:rPr>
      </w:pPr>
    </w:p>
    <w:p w:rsidR="00C638BB" w:rsidRDefault="00C638BB" w:rsidP="00C638BB">
      <w:pPr>
        <w:pStyle w:val="Sansinterligne"/>
        <w:rPr>
          <w:rFonts w:ascii="Times New Roman" w:hAnsi="Times New Roman"/>
          <w:sz w:val="24"/>
          <w:szCs w:val="24"/>
        </w:rPr>
      </w:pPr>
      <w:r w:rsidRPr="00C638BB">
        <w:rPr>
          <w:rFonts w:ascii="Times New Roman" w:hAnsi="Times New Roman"/>
          <w:sz w:val="24"/>
          <w:szCs w:val="24"/>
        </w:rPr>
        <w:t>Il est proposé au Conseil Municipal :</w:t>
      </w:r>
    </w:p>
    <w:p w:rsidR="00C638BB" w:rsidRPr="00C638BB" w:rsidRDefault="00C638BB" w:rsidP="00C638BB">
      <w:pPr>
        <w:pStyle w:val="Sansinterligne"/>
        <w:rPr>
          <w:rFonts w:ascii="Times New Roman" w:hAnsi="Times New Roman"/>
          <w:sz w:val="24"/>
          <w:szCs w:val="24"/>
        </w:rPr>
      </w:pPr>
    </w:p>
    <w:p w:rsidR="00C638BB" w:rsidRPr="00C638BB" w:rsidRDefault="00C638BB" w:rsidP="00C638BB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638BB">
        <w:rPr>
          <w:rFonts w:ascii="Times New Roman" w:hAnsi="Times New Roman"/>
          <w:sz w:val="24"/>
          <w:szCs w:val="24"/>
        </w:rPr>
        <w:t>d’adopter les acquisitions ci-dessus</w:t>
      </w:r>
    </w:p>
    <w:p w:rsidR="00C638BB" w:rsidRPr="00C638BB" w:rsidRDefault="00C638BB" w:rsidP="00C638BB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638BB">
        <w:rPr>
          <w:rFonts w:ascii="Times New Roman" w:hAnsi="Times New Roman"/>
          <w:sz w:val="24"/>
          <w:szCs w:val="24"/>
        </w:rPr>
        <w:t xml:space="preserve">d’approuver le plan de financement prévisionnel </w:t>
      </w:r>
    </w:p>
    <w:p w:rsidR="00C638BB" w:rsidRPr="00C638BB" w:rsidRDefault="00C638BB" w:rsidP="00C638BB">
      <w:pPr>
        <w:pStyle w:val="Sansinterligne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638BB">
        <w:rPr>
          <w:rFonts w:ascii="Times New Roman" w:hAnsi="Times New Roman"/>
          <w:sz w:val="24"/>
          <w:szCs w:val="24"/>
        </w:rPr>
        <w:t xml:space="preserve">de solliciter l’Etat pour des subventions dont une au titre de la dotation d’équipement des territoires ruraux (DETR) au titre de l’année 2019 </w:t>
      </w:r>
    </w:p>
    <w:p w:rsidR="00C638BB" w:rsidRPr="00C638BB" w:rsidRDefault="00C638BB" w:rsidP="00C638BB">
      <w:pPr>
        <w:pStyle w:val="Sansinterligne"/>
        <w:rPr>
          <w:rFonts w:ascii="Times New Roman" w:eastAsiaTheme="minorHAnsi" w:hAnsi="Times New Roman"/>
          <w:sz w:val="24"/>
          <w:szCs w:val="24"/>
        </w:rPr>
      </w:pPr>
    </w:p>
    <w:p w:rsidR="00C638BB" w:rsidRDefault="00C638BB" w:rsidP="00C638BB">
      <w:pPr>
        <w:pStyle w:val="Sansinterligne"/>
        <w:rPr>
          <w:rFonts w:ascii="Times New Roman" w:eastAsiaTheme="minorHAnsi" w:hAnsi="Times New Roman"/>
          <w:sz w:val="24"/>
          <w:szCs w:val="24"/>
        </w:rPr>
      </w:pPr>
      <w:r w:rsidRPr="00C638BB">
        <w:rPr>
          <w:rFonts w:ascii="Times New Roman" w:eastAsiaTheme="minorHAnsi" w:hAnsi="Times New Roman"/>
          <w:sz w:val="24"/>
          <w:szCs w:val="24"/>
        </w:rPr>
        <w:t>Ces propositions sont acceptées à l’unanimité.</w:t>
      </w:r>
    </w:p>
    <w:p w:rsidR="00C638BB" w:rsidRDefault="00C638BB" w:rsidP="00C638BB">
      <w:pPr>
        <w:pStyle w:val="Sansinterligne"/>
        <w:rPr>
          <w:rFonts w:ascii="Times New Roman" w:eastAsiaTheme="minorHAnsi" w:hAnsi="Times New Roman"/>
          <w:sz w:val="24"/>
          <w:szCs w:val="24"/>
        </w:rPr>
      </w:pPr>
    </w:p>
    <w:p w:rsidR="00C638BB" w:rsidRDefault="00C638BB" w:rsidP="00C638BB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QUESTIONS DIVERSES</w:t>
      </w:r>
    </w:p>
    <w:p w:rsidR="00C638BB" w:rsidRDefault="00C638BB" w:rsidP="00C638BB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638BB" w:rsidRDefault="00F62057" w:rsidP="00F62057">
      <w:pPr>
        <w:pStyle w:val="Sansinterligne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  <w:u w:val="single"/>
        </w:rPr>
      </w:pPr>
      <w:r w:rsidRPr="00F62057">
        <w:rPr>
          <w:rFonts w:ascii="Times New Roman" w:eastAsiaTheme="minorHAnsi" w:hAnsi="Times New Roman"/>
          <w:sz w:val="24"/>
          <w:szCs w:val="24"/>
          <w:u w:val="single"/>
        </w:rPr>
        <w:t>Subvention boulangerie</w:t>
      </w:r>
    </w:p>
    <w:p w:rsidR="00F62057" w:rsidRDefault="00F62057" w:rsidP="00F6205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Monsieur le Maire fait part au Conseil d’un courrier du Conseil Départemental attribuant une subvention pour la construction des cellules commerciales</w:t>
      </w:r>
    </w:p>
    <w:p w:rsidR="00736847" w:rsidRDefault="00736847" w:rsidP="0073684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</w:p>
    <w:p w:rsidR="00736847" w:rsidRPr="00736847" w:rsidRDefault="00736847" w:rsidP="00736847">
      <w:pPr>
        <w:pStyle w:val="Sansinterligne"/>
        <w:numPr>
          <w:ilvl w:val="0"/>
          <w:numId w:val="26"/>
        </w:numPr>
        <w:rPr>
          <w:rFonts w:ascii="Times New Roman" w:eastAsiaTheme="minorHAnsi" w:hAnsi="Times New Roman"/>
          <w:sz w:val="24"/>
          <w:szCs w:val="24"/>
          <w:u w:val="single"/>
        </w:rPr>
      </w:pPr>
      <w:r w:rsidRPr="00736847">
        <w:rPr>
          <w:rFonts w:ascii="Times New Roman" w:eastAsiaTheme="minorHAnsi" w:hAnsi="Times New Roman"/>
          <w:sz w:val="24"/>
          <w:szCs w:val="24"/>
          <w:u w:val="single"/>
        </w:rPr>
        <w:t>Centenaire 2018</w:t>
      </w:r>
    </w:p>
    <w:p w:rsidR="00736847" w:rsidRDefault="00736847" w:rsidP="0073684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Concernant le centenaire de la Première Guerre Mondiale, le projet présenté par un conseiller a été validé par la Préfecture.</w:t>
      </w:r>
    </w:p>
    <w:p w:rsidR="00736847" w:rsidRDefault="00736847" w:rsidP="0073684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Un spectacle sera donné par les enfants des écoles à l’issu de la cérémonie du 11 novembre.</w:t>
      </w:r>
    </w:p>
    <w:p w:rsidR="00736847" w:rsidRDefault="00736847" w:rsidP="0073684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</w:p>
    <w:p w:rsidR="00736847" w:rsidRPr="00736847" w:rsidRDefault="00736847" w:rsidP="00736847">
      <w:pPr>
        <w:pStyle w:val="Sansinterligne"/>
        <w:ind w:left="720"/>
        <w:rPr>
          <w:rFonts w:ascii="Times New Roman" w:eastAsiaTheme="minorHAnsi" w:hAnsi="Times New Roman"/>
          <w:sz w:val="24"/>
          <w:szCs w:val="24"/>
        </w:rPr>
      </w:pPr>
    </w:p>
    <w:p w:rsidR="00C638BB" w:rsidRPr="00C638BB" w:rsidRDefault="00C638BB" w:rsidP="00C638BB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F14D6" w:rsidRPr="00AF14D6" w:rsidRDefault="00AF14D6" w:rsidP="00AF14D6">
      <w:pPr>
        <w:spacing w:after="160" w:line="259" w:lineRule="auto"/>
        <w:jc w:val="both"/>
        <w:rPr>
          <w:rFonts w:eastAsiaTheme="minorHAnsi"/>
          <w:b/>
          <w:u w:val="single"/>
          <w:lang w:eastAsia="en-US"/>
        </w:rPr>
      </w:pPr>
    </w:p>
    <w:p w:rsidR="001E7946" w:rsidRPr="00AF14D6" w:rsidRDefault="001E7946" w:rsidP="001E7946">
      <w:pPr>
        <w:autoSpaceDE w:val="0"/>
        <w:autoSpaceDN w:val="0"/>
        <w:adjustRightInd w:val="0"/>
        <w:jc w:val="both"/>
        <w:rPr>
          <w:i/>
          <w:iCs/>
        </w:rPr>
      </w:pPr>
    </w:p>
    <w:p w:rsidR="00823EAE" w:rsidRPr="00AF14D6" w:rsidRDefault="00823EAE" w:rsidP="003F6F9A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sectPr w:rsidR="00823EAE" w:rsidRPr="00AF14D6" w:rsidSect="0037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73" w:rsidRDefault="00A76D73" w:rsidP="00312957">
      <w:r>
        <w:separator/>
      </w:r>
    </w:p>
  </w:endnote>
  <w:endnote w:type="continuationSeparator" w:id="0">
    <w:p w:rsidR="00A76D73" w:rsidRDefault="00A76D73" w:rsidP="003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73" w:rsidRDefault="00A76D73" w:rsidP="00312957">
      <w:r>
        <w:separator/>
      </w:r>
    </w:p>
  </w:footnote>
  <w:footnote w:type="continuationSeparator" w:id="0">
    <w:p w:rsidR="00A76D73" w:rsidRDefault="00A76D73" w:rsidP="0031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852"/>
    <w:multiLevelType w:val="hybridMultilevel"/>
    <w:tmpl w:val="10A4DE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D0A"/>
    <w:multiLevelType w:val="hybridMultilevel"/>
    <w:tmpl w:val="5AA6FA2E"/>
    <w:lvl w:ilvl="0" w:tplc="0F708D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1DA5"/>
    <w:multiLevelType w:val="hybridMultilevel"/>
    <w:tmpl w:val="048607D4"/>
    <w:lvl w:ilvl="0" w:tplc="B78600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6C8"/>
    <w:multiLevelType w:val="hybridMultilevel"/>
    <w:tmpl w:val="428C68F4"/>
    <w:lvl w:ilvl="0" w:tplc="9684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211"/>
    <w:multiLevelType w:val="hybridMultilevel"/>
    <w:tmpl w:val="213EA5F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316"/>
    <w:multiLevelType w:val="hybridMultilevel"/>
    <w:tmpl w:val="E594099E"/>
    <w:lvl w:ilvl="0" w:tplc="422AB5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6932"/>
    <w:multiLevelType w:val="hybridMultilevel"/>
    <w:tmpl w:val="31EEE5C0"/>
    <w:lvl w:ilvl="0" w:tplc="CE6A4E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C784C92"/>
    <w:multiLevelType w:val="hybridMultilevel"/>
    <w:tmpl w:val="421C8E50"/>
    <w:lvl w:ilvl="0" w:tplc="F2289D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718B"/>
    <w:multiLevelType w:val="hybridMultilevel"/>
    <w:tmpl w:val="E46C7E4C"/>
    <w:lvl w:ilvl="0" w:tplc="D14C0D3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1861A37"/>
    <w:multiLevelType w:val="hybridMultilevel"/>
    <w:tmpl w:val="540A921A"/>
    <w:lvl w:ilvl="0" w:tplc="2B6A0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30883"/>
    <w:multiLevelType w:val="hybridMultilevel"/>
    <w:tmpl w:val="597EC0DE"/>
    <w:lvl w:ilvl="0" w:tplc="BC465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4F5E"/>
    <w:multiLevelType w:val="hybridMultilevel"/>
    <w:tmpl w:val="45927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3550"/>
    <w:multiLevelType w:val="hybridMultilevel"/>
    <w:tmpl w:val="374EF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1317"/>
    <w:multiLevelType w:val="hybridMultilevel"/>
    <w:tmpl w:val="F38615E6"/>
    <w:lvl w:ilvl="0" w:tplc="DDFE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10448"/>
    <w:multiLevelType w:val="hybridMultilevel"/>
    <w:tmpl w:val="AA5886FC"/>
    <w:lvl w:ilvl="0" w:tplc="274E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1707"/>
    <w:multiLevelType w:val="hybridMultilevel"/>
    <w:tmpl w:val="BD66A006"/>
    <w:lvl w:ilvl="0" w:tplc="8794B9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F02787"/>
    <w:multiLevelType w:val="hybridMultilevel"/>
    <w:tmpl w:val="CDB67ED8"/>
    <w:lvl w:ilvl="0" w:tplc="C8F01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20A"/>
    <w:multiLevelType w:val="hybridMultilevel"/>
    <w:tmpl w:val="EAF0B3E0"/>
    <w:lvl w:ilvl="0" w:tplc="3BF0D5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C36FB"/>
    <w:multiLevelType w:val="hybridMultilevel"/>
    <w:tmpl w:val="C85A9F90"/>
    <w:lvl w:ilvl="0" w:tplc="DA3E0900">
      <w:start w:val="20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52E3"/>
    <w:multiLevelType w:val="hybridMultilevel"/>
    <w:tmpl w:val="8A1A7DE0"/>
    <w:lvl w:ilvl="0" w:tplc="6FF2F0A8">
      <w:start w:val="1"/>
      <w:numFmt w:val="lowerLetter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98E48BE"/>
    <w:multiLevelType w:val="hybridMultilevel"/>
    <w:tmpl w:val="073E1CAE"/>
    <w:lvl w:ilvl="0" w:tplc="A8C8B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93CD8"/>
    <w:multiLevelType w:val="hybridMultilevel"/>
    <w:tmpl w:val="335E0FFE"/>
    <w:lvl w:ilvl="0" w:tplc="9376C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14C10"/>
    <w:multiLevelType w:val="hybridMultilevel"/>
    <w:tmpl w:val="4B16FCEA"/>
    <w:lvl w:ilvl="0" w:tplc="46C09D48">
      <w:start w:val="20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36B92"/>
    <w:multiLevelType w:val="hybridMultilevel"/>
    <w:tmpl w:val="86D63C3C"/>
    <w:lvl w:ilvl="0" w:tplc="9D7ACC4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C98377D"/>
    <w:multiLevelType w:val="hybridMultilevel"/>
    <w:tmpl w:val="DE30656E"/>
    <w:lvl w:ilvl="0" w:tplc="AFE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0DF1"/>
    <w:multiLevelType w:val="hybridMultilevel"/>
    <w:tmpl w:val="9E70C100"/>
    <w:lvl w:ilvl="0" w:tplc="C9CC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24"/>
  </w:num>
  <w:num w:numId="5">
    <w:abstractNumId w:val="12"/>
  </w:num>
  <w:num w:numId="6">
    <w:abstractNumId w:val="0"/>
  </w:num>
  <w:num w:numId="7">
    <w:abstractNumId w:val="11"/>
  </w:num>
  <w:num w:numId="8">
    <w:abstractNumId w:val="2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9"/>
  </w:num>
  <w:num w:numId="14">
    <w:abstractNumId w:val="18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21"/>
  </w:num>
  <w:num w:numId="20">
    <w:abstractNumId w:val="7"/>
  </w:num>
  <w:num w:numId="21">
    <w:abstractNumId w:val="16"/>
  </w:num>
  <w:num w:numId="22">
    <w:abstractNumId w:val="2"/>
  </w:num>
  <w:num w:numId="23">
    <w:abstractNumId w:val="3"/>
  </w:num>
  <w:num w:numId="24">
    <w:abstractNumId w:val="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12A20"/>
    <w:rsid w:val="00027837"/>
    <w:rsid w:val="000427DE"/>
    <w:rsid w:val="000841C6"/>
    <w:rsid w:val="000858C0"/>
    <w:rsid w:val="000D3CA6"/>
    <w:rsid w:val="000F5BFA"/>
    <w:rsid w:val="001022E6"/>
    <w:rsid w:val="00113800"/>
    <w:rsid w:val="001175A5"/>
    <w:rsid w:val="00152B50"/>
    <w:rsid w:val="0016759A"/>
    <w:rsid w:val="00185825"/>
    <w:rsid w:val="001C2AE8"/>
    <w:rsid w:val="001E7946"/>
    <w:rsid w:val="001F1DD0"/>
    <w:rsid w:val="0022739A"/>
    <w:rsid w:val="00274B7B"/>
    <w:rsid w:val="002755BA"/>
    <w:rsid w:val="002A5C90"/>
    <w:rsid w:val="002F4D63"/>
    <w:rsid w:val="00312957"/>
    <w:rsid w:val="00346E2E"/>
    <w:rsid w:val="00350A66"/>
    <w:rsid w:val="00372DD0"/>
    <w:rsid w:val="00384CB0"/>
    <w:rsid w:val="003B2F4D"/>
    <w:rsid w:val="003C1A04"/>
    <w:rsid w:val="003F6F9A"/>
    <w:rsid w:val="00405357"/>
    <w:rsid w:val="00410067"/>
    <w:rsid w:val="00450AC5"/>
    <w:rsid w:val="004947B7"/>
    <w:rsid w:val="00495080"/>
    <w:rsid w:val="004A185A"/>
    <w:rsid w:val="004C353C"/>
    <w:rsid w:val="0053491B"/>
    <w:rsid w:val="00544CF3"/>
    <w:rsid w:val="00556DB8"/>
    <w:rsid w:val="0056286D"/>
    <w:rsid w:val="005705F9"/>
    <w:rsid w:val="005B23CE"/>
    <w:rsid w:val="005C74E4"/>
    <w:rsid w:val="005D323B"/>
    <w:rsid w:val="005D4C9C"/>
    <w:rsid w:val="005D666F"/>
    <w:rsid w:val="005E5502"/>
    <w:rsid w:val="005F119C"/>
    <w:rsid w:val="00601508"/>
    <w:rsid w:val="00604CA1"/>
    <w:rsid w:val="00604D4F"/>
    <w:rsid w:val="0069139D"/>
    <w:rsid w:val="006927A4"/>
    <w:rsid w:val="006E79CB"/>
    <w:rsid w:val="006F3FD8"/>
    <w:rsid w:val="00713E45"/>
    <w:rsid w:val="00731EE4"/>
    <w:rsid w:val="00736847"/>
    <w:rsid w:val="00747443"/>
    <w:rsid w:val="00757287"/>
    <w:rsid w:val="00757A05"/>
    <w:rsid w:val="0076674D"/>
    <w:rsid w:val="00774A1F"/>
    <w:rsid w:val="00785FF5"/>
    <w:rsid w:val="0079271D"/>
    <w:rsid w:val="007B6233"/>
    <w:rsid w:val="007C4941"/>
    <w:rsid w:val="007E68B1"/>
    <w:rsid w:val="00801C38"/>
    <w:rsid w:val="00813D42"/>
    <w:rsid w:val="00823414"/>
    <w:rsid w:val="00823EAE"/>
    <w:rsid w:val="0084778F"/>
    <w:rsid w:val="00855986"/>
    <w:rsid w:val="00876153"/>
    <w:rsid w:val="00893F97"/>
    <w:rsid w:val="008B4160"/>
    <w:rsid w:val="008C07D2"/>
    <w:rsid w:val="008F5F54"/>
    <w:rsid w:val="00920A0F"/>
    <w:rsid w:val="00927D92"/>
    <w:rsid w:val="00930AA5"/>
    <w:rsid w:val="009762F2"/>
    <w:rsid w:val="00984253"/>
    <w:rsid w:val="009958D0"/>
    <w:rsid w:val="009B0A08"/>
    <w:rsid w:val="009B55DB"/>
    <w:rsid w:val="009C2CB6"/>
    <w:rsid w:val="009C47BB"/>
    <w:rsid w:val="00A25991"/>
    <w:rsid w:val="00A663AA"/>
    <w:rsid w:val="00A66E91"/>
    <w:rsid w:val="00A76D73"/>
    <w:rsid w:val="00A82E18"/>
    <w:rsid w:val="00A9666D"/>
    <w:rsid w:val="00AD04C7"/>
    <w:rsid w:val="00AF14D6"/>
    <w:rsid w:val="00B04124"/>
    <w:rsid w:val="00B059A4"/>
    <w:rsid w:val="00B24990"/>
    <w:rsid w:val="00B426CA"/>
    <w:rsid w:val="00B47755"/>
    <w:rsid w:val="00BA4455"/>
    <w:rsid w:val="00BB25CC"/>
    <w:rsid w:val="00BD32A8"/>
    <w:rsid w:val="00BF2AA5"/>
    <w:rsid w:val="00BF615C"/>
    <w:rsid w:val="00C47BE5"/>
    <w:rsid w:val="00C638BB"/>
    <w:rsid w:val="00C67638"/>
    <w:rsid w:val="00CA360F"/>
    <w:rsid w:val="00CB1124"/>
    <w:rsid w:val="00CB772A"/>
    <w:rsid w:val="00CC271E"/>
    <w:rsid w:val="00CF15F5"/>
    <w:rsid w:val="00D11C95"/>
    <w:rsid w:val="00D14930"/>
    <w:rsid w:val="00D37E1A"/>
    <w:rsid w:val="00D42700"/>
    <w:rsid w:val="00D57FE6"/>
    <w:rsid w:val="00D60815"/>
    <w:rsid w:val="00DA5714"/>
    <w:rsid w:val="00DF5B7E"/>
    <w:rsid w:val="00E11C1D"/>
    <w:rsid w:val="00E23714"/>
    <w:rsid w:val="00E37F68"/>
    <w:rsid w:val="00E71764"/>
    <w:rsid w:val="00E80891"/>
    <w:rsid w:val="00E93328"/>
    <w:rsid w:val="00E96B1F"/>
    <w:rsid w:val="00EC54ED"/>
    <w:rsid w:val="00EF00C6"/>
    <w:rsid w:val="00EF624D"/>
    <w:rsid w:val="00F27DEB"/>
    <w:rsid w:val="00F42E84"/>
    <w:rsid w:val="00F470EA"/>
    <w:rsid w:val="00F62057"/>
    <w:rsid w:val="00F76B6A"/>
    <w:rsid w:val="00F80DE9"/>
    <w:rsid w:val="00FC15A4"/>
    <w:rsid w:val="00FC31C1"/>
    <w:rsid w:val="00FC570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027837"/>
    <w:rPr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152B50"/>
    <w:pPr>
      <w:suppressAutoHyphens/>
      <w:overflowPunct w:val="0"/>
      <w:autoSpaceDE w:val="0"/>
      <w:spacing w:after="120"/>
      <w:textAlignment w:val="baseline"/>
    </w:pPr>
    <w:rPr>
      <w:kern w:val="1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52B50"/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4</cp:revision>
  <cp:lastPrinted>2018-10-19T15:48:00Z</cp:lastPrinted>
  <dcterms:created xsi:type="dcterms:W3CDTF">2018-10-19T15:42:00Z</dcterms:created>
  <dcterms:modified xsi:type="dcterms:W3CDTF">2018-10-19T15:49:00Z</dcterms:modified>
</cp:coreProperties>
</file>